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C4" w:rsidRPr="00E924C4" w:rsidRDefault="00E924C4" w:rsidP="00E924C4">
      <w:pPr>
        <w:tabs>
          <w:tab w:val="left" w:pos="720"/>
        </w:tabs>
        <w:rPr>
          <w:rFonts w:ascii="Garamond" w:hAnsi="Garamond"/>
          <w:sz w:val="24"/>
        </w:rPr>
      </w:pPr>
      <w:r>
        <w:rPr>
          <w:rFonts w:ascii="Garamond" w:hAnsi="Garamond"/>
          <w:b/>
          <w:sz w:val="24"/>
        </w:rPr>
        <w:t xml:space="preserve">EDUCATION: </w:t>
      </w:r>
      <w:r w:rsidRPr="00E924C4">
        <w:rPr>
          <w:rFonts w:ascii="Garamond" w:hAnsi="Garamond"/>
          <w:b/>
          <w:sz w:val="24"/>
        </w:rPr>
        <w:t>Program / Process Review</w:t>
      </w:r>
      <w:r>
        <w:rPr>
          <w:rFonts w:ascii="Garamond" w:hAnsi="Garamond"/>
          <w:b/>
          <w:sz w:val="24"/>
        </w:rPr>
        <w:t xml:space="preserve"> Template</w:t>
      </w:r>
    </w:p>
    <w:p w:rsidR="00E924C4" w:rsidRPr="00E924C4" w:rsidRDefault="00E924C4" w:rsidP="00E924C4">
      <w:pPr>
        <w:rPr>
          <w:rFonts w:ascii="Garamond" w:hAnsi="Garamond"/>
          <w:sz w:val="24"/>
        </w:rPr>
      </w:pPr>
      <w:r w:rsidRPr="00E924C4">
        <w:rPr>
          <w:rFonts w:ascii="Garamond" w:hAnsi="Garamond"/>
          <w:sz w:val="24"/>
        </w:rPr>
        <w:t xml:space="preserve">This type of abstract can describe a new Service thrust, e.g., identifying capability gaps, or reviews </w:t>
      </w:r>
      <w:r w:rsidR="001F58A5">
        <w:rPr>
          <w:rFonts w:ascii="Garamond" w:hAnsi="Garamond"/>
          <w:sz w:val="24"/>
        </w:rPr>
        <w:t>of critical areas, e.g., safety.  It may be a description of a program or process that is used to solve a problem or accomplish a task.</w:t>
      </w:r>
    </w:p>
    <w:p w:rsidR="00E924C4" w:rsidRPr="0022156A" w:rsidRDefault="00E924C4" w:rsidP="00E924C4">
      <w:pPr>
        <w:tabs>
          <w:tab w:val="left" w:pos="1080"/>
        </w:tabs>
        <w:rPr>
          <w:rFonts w:ascii="Garamond" w:hAnsi="Garamond"/>
          <w:b/>
          <w:sz w:val="24"/>
        </w:rPr>
      </w:pPr>
      <w:r>
        <w:rPr>
          <w:rFonts w:ascii="Garamond" w:hAnsi="Garamond"/>
          <w:sz w:val="24"/>
        </w:rPr>
        <w:t xml:space="preserve">Please retain the headings in </w:t>
      </w:r>
      <w:r w:rsidRPr="00F80164">
        <w:rPr>
          <w:rFonts w:ascii="Garamond" w:hAnsi="Garamond"/>
          <w:b/>
          <w:sz w:val="24"/>
        </w:rPr>
        <w:t>BOLD</w:t>
      </w:r>
      <w:r>
        <w:rPr>
          <w:rFonts w:ascii="Garamond" w:hAnsi="Garamond"/>
          <w:sz w:val="24"/>
        </w:rPr>
        <w:t xml:space="preserve"> and replace the </w:t>
      </w:r>
      <w:r w:rsidRPr="009F642C">
        <w:rPr>
          <w:rFonts w:ascii="Garamond" w:hAnsi="Garamond"/>
          <w:i/>
          <w:color w:val="0033CC"/>
          <w:sz w:val="24"/>
        </w:rPr>
        <w:t>blue text in italics</w:t>
      </w:r>
      <w:r w:rsidRPr="009F642C">
        <w:rPr>
          <w:rFonts w:ascii="Garamond" w:hAnsi="Garamond"/>
          <w:color w:val="0033CC"/>
          <w:sz w:val="24"/>
        </w:rPr>
        <w:t xml:space="preserve"> </w:t>
      </w:r>
      <w:r>
        <w:rPr>
          <w:rFonts w:ascii="Garamond" w:hAnsi="Garamond"/>
          <w:sz w:val="24"/>
        </w:rPr>
        <w:t>with your submission.</w:t>
      </w:r>
    </w:p>
    <w:p w:rsidR="00E924C4" w:rsidRPr="00E924C4" w:rsidRDefault="008753A0" w:rsidP="00E924C4">
      <w:pPr>
        <w:rPr>
          <w:rFonts w:ascii="Garamond" w:hAnsi="Garamond"/>
          <w:color w:val="0033CC"/>
          <w:sz w:val="24"/>
        </w:rPr>
      </w:pPr>
      <w:r>
        <w:rPr>
          <w:rFonts w:ascii="Garamond" w:hAnsi="Garamond"/>
          <w:b/>
          <w:sz w:val="24"/>
        </w:rPr>
        <w:t>BACKGROUND</w:t>
      </w:r>
      <w:r w:rsidR="00E924C4" w:rsidRPr="00E924C4">
        <w:rPr>
          <w:rFonts w:ascii="Garamond" w:hAnsi="Garamond"/>
          <w:b/>
          <w:sz w:val="24"/>
        </w:rPr>
        <w:t>:</w:t>
      </w:r>
      <w:r w:rsidR="00E924C4" w:rsidRPr="00E924C4">
        <w:rPr>
          <w:rFonts w:ascii="Garamond" w:hAnsi="Garamond"/>
          <w:sz w:val="24"/>
        </w:rPr>
        <w:t xml:space="preserve"> </w:t>
      </w:r>
      <w:r w:rsidR="00E924C4" w:rsidRPr="00E924C4">
        <w:rPr>
          <w:rFonts w:ascii="Garamond" w:hAnsi="Garamond"/>
          <w:color w:val="0033CC"/>
          <w:sz w:val="24"/>
        </w:rPr>
        <w:t>&lt;</w:t>
      </w:r>
      <w:r w:rsidR="00E924C4" w:rsidRPr="00E924C4">
        <w:rPr>
          <w:rFonts w:ascii="Garamond" w:hAnsi="Garamond"/>
          <w:i/>
          <w:color w:val="0033CC"/>
          <w:sz w:val="24"/>
        </w:rPr>
        <w:t>This section describes why this is important to AsMA attendees and why this needs to be addressed now</w:t>
      </w:r>
      <w:r w:rsidR="00AB2410">
        <w:rPr>
          <w:rFonts w:ascii="Garamond" w:hAnsi="Garamond"/>
          <w:i/>
          <w:color w:val="0033CC"/>
          <w:sz w:val="24"/>
        </w:rPr>
        <w:t>.</w:t>
      </w:r>
      <w:r w:rsidR="00E924C4" w:rsidRPr="00E924C4">
        <w:rPr>
          <w:rFonts w:ascii="Garamond" w:hAnsi="Garamond"/>
          <w:color w:val="0033CC"/>
          <w:sz w:val="24"/>
        </w:rPr>
        <w:t>&gt;</w:t>
      </w:r>
    </w:p>
    <w:p w:rsidR="00E924C4" w:rsidRPr="00E924C4" w:rsidRDefault="00E924C4" w:rsidP="00E924C4">
      <w:pPr>
        <w:rPr>
          <w:rFonts w:ascii="Garamond" w:hAnsi="Garamond"/>
          <w:color w:val="0033CC"/>
          <w:sz w:val="24"/>
        </w:rPr>
      </w:pPr>
      <w:r w:rsidRPr="00E924C4">
        <w:rPr>
          <w:rFonts w:ascii="Garamond" w:hAnsi="Garamond"/>
          <w:b/>
          <w:sz w:val="24"/>
        </w:rPr>
        <w:t>OVERVIEW:</w:t>
      </w:r>
      <w:r w:rsidRPr="00E924C4">
        <w:rPr>
          <w:rFonts w:ascii="Garamond" w:hAnsi="Garamond"/>
          <w:sz w:val="24"/>
        </w:rPr>
        <w:t xml:space="preserve"> </w:t>
      </w:r>
      <w:r w:rsidRPr="00E924C4">
        <w:rPr>
          <w:rFonts w:ascii="Garamond" w:hAnsi="Garamond"/>
          <w:color w:val="0033CC"/>
          <w:sz w:val="24"/>
        </w:rPr>
        <w:t>&lt;</w:t>
      </w:r>
      <w:r w:rsidRPr="00E924C4">
        <w:rPr>
          <w:rFonts w:ascii="Garamond" w:hAnsi="Garamond"/>
          <w:i/>
          <w:color w:val="0033CC"/>
          <w:sz w:val="24"/>
        </w:rPr>
        <w:t>This section concisely describes the effort and how it applies to current or future gaps</w:t>
      </w:r>
      <w:r w:rsidR="00AB2410">
        <w:rPr>
          <w:rFonts w:ascii="Garamond" w:hAnsi="Garamond"/>
          <w:i/>
          <w:color w:val="0033CC"/>
          <w:sz w:val="24"/>
        </w:rPr>
        <w:t>.</w:t>
      </w:r>
      <w:r w:rsidRPr="00E924C4">
        <w:rPr>
          <w:rFonts w:ascii="Garamond" w:hAnsi="Garamond"/>
          <w:color w:val="0033CC"/>
          <w:sz w:val="24"/>
        </w:rPr>
        <w:t>&gt;</w:t>
      </w:r>
    </w:p>
    <w:p w:rsidR="00E924C4" w:rsidRPr="00E924C4" w:rsidRDefault="008753A0" w:rsidP="00E924C4">
      <w:pPr>
        <w:rPr>
          <w:rFonts w:ascii="Garamond" w:hAnsi="Garamond"/>
          <w:color w:val="0033CC"/>
          <w:sz w:val="24"/>
        </w:rPr>
      </w:pPr>
      <w:r>
        <w:rPr>
          <w:rFonts w:ascii="Garamond" w:hAnsi="Garamond"/>
          <w:b/>
          <w:sz w:val="24"/>
        </w:rPr>
        <w:t>DISCUSSION</w:t>
      </w:r>
      <w:r w:rsidR="00E924C4" w:rsidRPr="00E924C4">
        <w:rPr>
          <w:rFonts w:ascii="Garamond" w:hAnsi="Garamond"/>
          <w:b/>
          <w:sz w:val="24"/>
        </w:rPr>
        <w:t>:</w:t>
      </w:r>
      <w:r w:rsidR="00E924C4" w:rsidRPr="00E924C4">
        <w:rPr>
          <w:rFonts w:ascii="Garamond" w:hAnsi="Garamond"/>
          <w:sz w:val="24"/>
        </w:rPr>
        <w:t xml:space="preserve"> </w:t>
      </w:r>
      <w:r w:rsidR="00E924C4" w:rsidRPr="00E924C4">
        <w:rPr>
          <w:rFonts w:ascii="Garamond" w:hAnsi="Garamond"/>
          <w:color w:val="0033CC"/>
          <w:sz w:val="24"/>
        </w:rPr>
        <w:t>&lt;</w:t>
      </w:r>
      <w:r w:rsidR="00E924C4" w:rsidRPr="00E924C4">
        <w:rPr>
          <w:rFonts w:ascii="Garamond" w:hAnsi="Garamond"/>
          <w:i/>
          <w:color w:val="0033CC"/>
          <w:sz w:val="24"/>
        </w:rPr>
        <w:t>This section describes (1) the operational or clinical significance, (2) how it will this advance aeromedicine / human performance, and (3) address whether it supports cross Service / International / Military – Civilian spheres</w:t>
      </w:r>
      <w:r w:rsidR="00AB2410">
        <w:rPr>
          <w:rFonts w:ascii="Garamond" w:hAnsi="Garamond"/>
          <w:i/>
          <w:color w:val="0033CC"/>
          <w:sz w:val="24"/>
        </w:rPr>
        <w:t>.</w:t>
      </w:r>
      <w:bookmarkStart w:id="0" w:name="_GoBack"/>
      <w:bookmarkEnd w:id="0"/>
      <w:r w:rsidR="00E924C4" w:rsidRPr="00E924C4">
        <w:rPr>
          <w:rFonts w:ascii="Garamond" w:hAnsi="Garamond"/>
          <w:color w:val="0033CC"/>
          <w:sz w:val="24"/>
        </w:rPr>
        <w:t>&gt;</w:t>
      </w:r>
    </w:p>
    <w:p w:rsidR="00E924C4" w:rsidRDefault="00E924C4" w:rsidP="00E924C4">
      <w:pPr>
        <w:spacing w:after="0"/>
        <w:rPr>
          <w:rFonts w:ascii="Garamond" w:hAnsi="Garamond"/>
          <w:b/>
          <w:sz w:val="24"/>
        </w:rPr>
      </w:pPr>
      <w:r w:rsidRPr="0022156A">
        <w:rPr>
          <w:rFonts w:ascii="Garamond" w:eastAsia="ArialUnicodeMS" w:hAnsi="Garamond" w:cs="ArialUnicodeMS"/>
          <w:b/>
          <w:sz w:val="24"/>
          <w:szCs w:val="20"/>
        </w:rPr>
        <w:t xml:space="preserve">Example </w:t>
      </w:r>
      <w:r w:rsidRPr="0022156A">
        <w:rPr>
          <w:rFonts w:ascii="Garamond" w:hAnsi="Garamond"/>
          <w:b/>
          <w:sz w:val="24"/>
        </w:rPr>
        <w:t>(AMHP 86(3):230, 2015):</w:t>
      </w:r>
    </w:p>
    <w:p w:rsidR="00E924C4" w:rsidRPr="0022156A" w:rsidRDefault="00E924C4" w:rsidP="00E924C4">
      <w:pPr>
        <w:spacing w:after="0"/>
        <w:ind w:left="720"/>
        <w:rPr>
          <w:rFonts w:ascii="Garamond" w:hAnsi="Garamond"/>
          <w:b/>
          <w:sz w:val="24"/>
        </w:rPr>
      </w:pPr>
    </w:p>
    <w:p w:rsidR="00E924C4" w:rsidRPr="004923C6" w:rsidRDefault="00E924C4" w:rsidP="00E924C4">
      <w:pPr>
        <w:spacing w:after="0"/>
        <w:ind w:left="720"/>
        <w:rPr>
          <w:rFonts w:ascii="Garamond" w:eastAsia="ArialUnicodeMS" w:hAnsi="Garamond" w:cs="ArialUnicodeMS"/>
          <w:b/>
          <w:sz w:val="24"/>
          <w:szCs w:val="20"/>
        </w:rPr>
      </w:pPr>
      <w:r w:rsidRPr="004923C6">
        <w:rPr>
          <w:rFonts w:ascii="Garamond" w:eastAsia="ArialUnicodeMS" w:hAnsi="Garamond" w:cs="ArialUnicodeMS"/>
          <w:b/>
          <w:sz w:val="24"/>
          <w:szCs w:val="20"/>
        </w:rPr>
        <w:t>PROCESS FOR EVIDENCE-BASED DECISION MAKING IN HUMAN PERFORMANCE</w:t>
      </w:r>
    </w:p>
    <w:p w:rsidR="00E924C4" w:rsidRPr="004923C6" w:rsidRDefault="008753A0" w:rsidP="00E924C4">
      <w:pPr>
        <w:spacing w:after="0"/>
        <w:ind w:left="720"/>
        <w:rPr>
          <w:rFonts w:ascii="Garamond" w:eastAsia="ArialUnicodeMS" w:hAnsi="Garamond" w:cs="ArialUnicodeMS"/>
          <w:sz w:val="24"/>
          <w:szCs w:val="20"/>
        </w:rPr>
      </w:pPr>
      <w:r>
        <w:rPr>
          <w:rFonts w:ascii="Garamond" w:eastAsia="ArialUnicodeMS" w:hAnsi="Garamond" w:cs="ArialUnicodeMS"/>
          <w:b/>
          <w:sz w:val="24"/>
          <w:szCs w:val="20"/>
        </w:rPr>
        <w:t>BACKGROUND</w:t>
      </w:r>
      <w:r w:rsidR="00E924C4" w:rsidRPr="004923C6">
        <w:rPr>
          <w:rFonts w:ascii="Garamond" w:eastAsia="ArialUnicodeMS" w:hAnsi="Garamond" w:cs="ArialUnicodeMS"/>
          <w:b/>
          <w:sz w:val="24"/>
          <w:szCs w:val="20"/>
        </w:rPr>
        <w:t>:</w:t>
      </w:r>
      <w:r w:rsidR="00E924C4" w:rsidRPr="004923C6">
        <w:rPr>
          <w:rFonts w:ascii="Garamond" w:eastAsia="ArialUnicodeMS" w:hAnsi="Garamond" w:cs="ArialUnicodeMS"/>
          <w:sz w:val="24"/>
          <w:szCs w:val="20"/>
        </w:rPr>
        <w:t xml:space="preserve"> Aerospace medical professionals may be familiar with evidence-based decision making for preventive medicine; the same principles can be used for human performance advice and consultation.  To make use of evidence-based recommendations, it is important to understand the process used to derive them. This presentation will prepare human performance practitioners to use evidence-based recommendations, and to contribute both to the evidence base and to the growing body of recommendations.</w:t>
      </w:r>
    </w:p>
    <w:p w:rsidR="00E924C4" w:rsidRPr="004923C6" w:rsidRDefault="00E924C4" w:rsidP="00E924C4">
      <w:pPr>
        <w:spacing w:after="0"/>
        <w:ind w:left="720"/>
        <w:rPr>
          <w:rFonts w:ascii="Garamond" w:eastAsia="ArialUnicodeMS" w:hAnsi="Garamond" w:cs="ArialUnicodeMS"/>
          <w:sz w:val="24"/>
          <w:szCs w:val="20"/>
        </w:rPr>
      </w:pPr>
      <w:r>
        <w:rPr>
          <w:rFonts w:ascii="Garamond" w:eastAsia="ArialUnicodeMS" w:hAnsi="Garamond" w:cs="ArialUnicodeMS"/>
          <w:b/>
          <w:sz w:val="24"/>
          <w:szCs w:val="20"/>
        </w:rPr>
        <w:t>OVERVIEW</w:t>
      </w:r>
      <w:r w:rsidRPr="004923C6">
        <w:rPr>
          <w:rFonts w:ascii="Garamond" w:eastAsia="ArialUnicodeMS" w:hAnsi="Garamond" w:cs="ArialUnicodeMS"/>
          <w:b/>
          <w:sz w:val="24"/>
          <w:szCs w:val="20"/>
        </w:rPr>
        <w:t>:</w:t>
      </w:r>
      <w:r w:rsidRPr="004923C6">
        <w:rPr>
          <w:rFonts w:ascii="Garamond" w:eastAsia="ArialUnicodeMS" w:hAnsi="Garamond" w:cs="ArialUnicodeMS"/>
          <w:sz w:val="24"/>
          <w:szCs w:val="20"/>
        </w:rPr>
        <w:t xml:space="preserve"> Evidence-based decision making requires a repeatable, traceable, documented process to produce trusted recommendations that can be accessed and used in the field.  The U.S. Preventive Services Task Force (USPSTF) has published a detailed procedural manual applicable to preventive clinical services.  This manual was the primary resource in developing a process to support the practice of human performance sustainment.  A workshop composed of the intended user specialties produced a prioritized list of human performance issues which were then reframed in the form of study questions.  For each, search terms and inclusion and exclusion criteria were derived, and publications assembled for review.  Primary peer-reviewed papers were evaluated by four reviewers, using a set of defined criteria, with periodic discussions.  Evaluations were consolidated and reviewers arrived at a recommendation statement, associated evidence grade, and recommendation for further research.  The process and its development will be presented with special reference to where it differs from the USPSTF process, and where it can be improved in future.</w:t>
      </w:r>
    </w:p>
    <w:p w:rsidR="00E924C4" w:rsidRPr="004923C6" w:rsidRDefault="008753A0" w:rsidP="00E924C4">
      <w:pPr>
        <w:spacing w:after="0"/>
        <w:ind w:left="720"/>
        <w:rPr>
          <w:rFonts w:ascii="Garamond" w:eastAsia="ArialUnicodeMS" w:hAnsi="Garamond" w:cs="ArialUnicodeMS"/>
          <w:sz w:val="24"/>
          <w:szCs w:val="20"/>
        </w:rPr>
      </w:pPr>
      <w:r>
        <w:rPr>
          <w:rFonts w:ascii="Garamond" w:eastAsia="ArialUnicodeMS" w:hAnsi="Garamond" w:cs="ArialUnicodeMS"/>
          <w:b/>
          <w:sz w:val="24"/>
          <w:szCs w:val="20"/>
        </w:rPr>
        <w:t>DISCUSSION</w:t>
      </w:r>
      <w:r w:rsidR="00E924C4" w:rsidRPr="004923C6">
        <w:rPr>
          <w:rFonts w:ascii="Garamond" w:eastAsia="ArialUnicodeMS" w:hAnsi="Garamond" w:cs="ArialUnicodeMS"/>
          <w:b/>
          <w:sz w:val="24"/>
          <w:szCs w:val="20"/>
        </w:rPr>
        <w:t>:</w:t>
      </w:r>
      <w:r w:rsidR="00E924C4" w:rsidRPr="004923C6">
        <w:rPr>
          <w:rFonts w:ascii="Garamond" w:eastAsia="ArialUnicodeMS" w:hAnsi="Garamond" w:cs="ArialUnicodeMS"/>
          <w:sz w:val="24"/>
          <w:szCs w:val="20"/>
        </w:rPr>
        <w:t xml:space="preserve">  Evidence-based decision making translates the decades of research conducted concerning aerospace human factors topics into operational recommendations.  This is the next step for the field of operational human performance to become standardized and scientifically based, as other professional disciplines are.  This work is of broad interest </w:t>
      </w:r>
      <w:r w:rsidR="00E924C4" w:rsidRPr="004923C6">
        <w:rPr>
          <w:rFonts w:ascii="Garamond" w:eastAsia="ArialUnicodeMS" w:hAnsi="Garamond" w:cs="ArialUnicodeMS"/>
          <w:sz w:val="24"/>
          <w:szCs w:val="20"/>
        </w:rPr>
        <w:lastRenderedPageBreak/>
        <w:t>to professionals who may be in a position to apply human performance research findings to operational problems.</w:t>
      </w:r>
    </w:p>
    <w:p w:rsidR="007A5EED" w:rsidRDefault="001F58A5"/>
    <w:sectPr w:rsidR="007A5EED" w:rsidSect="00944F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UnicodeM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723D6"/>
    <w:multiLevelType w:val="hybridMultilevel"/>
    <w:tmpl w:val="5ACCB32E"/>
    <w:lvl w:ilvl="0" w:tplc="04090013">
      <w:start w:val="1"/>
      <w:numFmt w:val="upperRoman"/>
      <w:lvlText w:val="%1."/>
      <w:lvlJc w:val="right"/>
      <w:pPr>
        <w:ind w:left="720" w:hanging="360"/>
      </w:pPr>
      <w:rPr>
        <w:rFonts w:hint="default"/>
      </w:rPr>
    </w:lvl>
    <w:lvl w:ilvl="1" w:tplc="F752BFFE">
      <w:start w:val="1"/>
      <w:numFmt w:val="upperLetter"/>
      <w:lvlText w:val="%2."/>
      <w:lvlJc w:val="left"/>
      <w:pPr>
        <w:ind w:left="1440" w:hanging="360"/>
      </w:pPr>
      <w:rPr>
        <w:rFonts w:ascii="Garamond" w:hAnsi="Garamond" w:hint="default"/>
        <w:b w:val="0"/>
        <w:i w:val="0"/>
        <w:color w:val="212121"/>
        <w:w w:val="93"/>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782C47"/>
    <w:multiLevelType w:val="hybridMultilevel"/>
    <w:tmpl w:val="CC020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dgnword-docGUID" w:val="{F547C709-A8E1-4E68-8864-733BD2D0DDDB}"/>
    <w:docVar w:name="dgnword-eventsink" w:val="113234328"/>
  </w:docVars>
  <w:rsids>
    <w:rsidRoot w:val="00E924C4"/>
    <w:rsid w:val="000854F1"/>
    <w:rsid w:val="001F58A5"/>
    <w:rsid w:val="00230C74"/>
    <w:rsid w:val="002F09AF"/>
    <w:rsid w:val="0086651A"/>
    <w:rsid w:val="008753A0"/>
    <w:rsid w:val="00944FA3"/>
    <w:rsid w:val="009F642C"/>
    <w:rsid w:val="00AB2410"/>
    <w:rsid w:val="00E16BB6"/>
    <w:rsid w:val="00E606AF"/>
    <w:rsid w:val="00E92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C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4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8AEEE842E5F4180BC7DAD1547D245" ma:contentTypeVersion="1680" ma:contentTypeDescription="Create a new document." ma:contentTypeScope="" ma:versionID="c004102f889d4ba69160c17861e8e761">
  <xsd:schema xmlns:xsd="http://www.w3.org/2001/XMLSchema" xmlns:xs="http://www.w3.org/2001/XMLSchema" xmlns:p="http://schemas.microsoft.com/office/2006/metadata/properties" xmlns:ns2="2d9840c4-12d3-414e-8424-d8d74181169c" xmlns:ns3="0f6959f9-2d70-4c19-a387-558c6b8fd99b" targetNamespace="http://schemas.microsoft.com/office/2006/metadata/properties" ma:root="true" ma:fieldsID="c5f4697268413957030706e4aa5176d0" ns2:_="" ns3:_="">
    <xsd:import namespace="2d9840c4-12d3-414e-8424-d8d74181169c"/>
    <xsd:import namespace="0f6959f9-2d70-4c19-a387-558c6b8fd99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840c4-12d3-414e-8424-d8d7418116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3073a44-5207-4d68-bba8-863433b72c07}" ma:internalName="TaxCatchAll" ma:showField="CatchAllData" ma:web="2d9840c4-12d3-414e-8424-d8d7418116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6959f9-2d70-4c19-a387-558c6b8fd9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dd737d9-e76a-4c75-9b62-b8551c67e7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d9840c4-12d3-414e-8424-d8d74181169c">XNKSXARCFWAF-1573500842-398720</_dlc_DocId>
    <_dlc_DocIdUrl xmlns="2d9840c4-12d3-414e-8424-d8d74181169c">
      <Url>https://aerospacemed.sharepoint.com/sites/DocumentCenter/_layouts/15/DocIdRedir.aspx?ID=XNKSXARCFWAF-1573500842-398720</Url>
      <Description>XNKSXARCFWAF-1573500842-398720</Description>
    </_dlc_DocIdUrl>
    <TaxCatchAll xmlns="2d9840c4-12d3-414e-8424-d8d74181169c" xsi:nil="true"/>
    <lcf76f155ced4ddcb4097134ff3c332f xmlns="0f6959f9-2d70-4c19-a387-558c6b8fd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314885-AFD0-49C7-AEA5-AD6E539F2903}"/>
</file>

<file path=customXml/itemProps2.xml><?xml version="1.0" encoding="utf-8"?>
<ds:datastoreItem xmlns:ds="http://schemas.openxmlformats.org/officeDocument/2006/customXml" ds:itemID="{8A928FB8-CE5A-4385-AEA6-87275AA10D2A}"/>
</file>

<file path=customXml/itemProps3.xml><?xml version="1.0" encoding="utf-8"?>
<ds:datastoreItem xmlns:ds="http://schemas.openxmlformats.org/officeDocument/2006/customXml" ds:itemID="{7CA931F2-3747-40B1-8BE7-9814AE3EC1CC}"/>
</file>

<file path=customXml/itemProps4.xml><?xml version="1.0" encoding="utf-8"?>
<ds:datastoreItem xmlns:ds="http://schemas.openxmlformats.org/officeDocument/2006/customXml" ds:itemID="{C3DA90C5-B04E-49C2-AA8A-31195E2F399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shenderbs</dc:creator>
  <cp:lastModifiedBy>DalitsWW</cp:lastModifiedBy>
  <cp:revision>4</cp:revision>
  <dcterms:created xsi:type="dcterms:W3CDTF">2015-08-20T16:50:00Z</dcterms:created>
  <dcterms:modified xsi:type="dcterms:W3CDTF">2018-06-12T17:56:00Z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0x0101007478AEEE842E5F4180BC7DAD1547D245</vt:lpwstr>
  </property>
  <property fmtid="{D5CDD505-2E9C-101B-9397-08002B2CF9AE}" pid="3" name="Order">
    <vt:r8>1010800</vt:r8>
  </property>
  <property fmtid="{D5CDD505-2E9C-101B-9397-08002B2CF9AE}" pid="4" name="_dlc_DocIdItemGuid">
    <vt:lpwstr>677dcbd7-3f43-42c6-882c-2612faa5e9de</vt:lpwstr>
  </property>
  <property fmtid="{D5CDD505-2E9C-101B-9397-08002B2CF9AE}" pid="5" name="MediaServiceImageTags">
    <vt:lpwstr/>
  </property>
</Properties>
</file>